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30" meta:character-count="792" meta:non-whitespace-character-count="7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